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8"/>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537F3A79" w14:textId="77777777" w:rsidTr="00F663DC">
        <w:tc>
          <w:tcPr>
            <w:tcW w:w="4747" w:type="dxa"/>
          </w:tcPr>
          <w:p w14:paraId="20CC1460" w14:textId="32A23DB2" w:rsidR="00F663DC" w:rsidRPr="00CC2553" w:rsidRDefault="008A1BF1" w:rsidP="00DB584A">
            <w:pPr>
              <w:rPr>
                <w:rFonts w:eastAsia="Calibri"/>
                <w:b/>
                <w:bCs/>
                <w:iCs/>
                <w:sz w:val="24"/>
                <w:szCs w:val="24"/>
                <w:lang w:val="et-EE" w:eastAsia="en-US"/>
              </w:rPr>
            </w:pPr>
            <w:r>
              <w:rPr>
                <w:rFonts w:eastAsia="Calibri"/>
                <w:b/>
                <w:bCs/>
                <w:iCs/>
                <w:sz w:val="24"/>
                <w:szCs w:val="24"/>
                <w:lang w:val="et-EE" w:eastAsia="en-US"/>
              </w:rPr>
              <w:t>Rookopli 18 detailplaneeringu koostamine algatamine</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CC2553" w14:paraId="5B893A1E" w14:textId="77777777" w:rsidTr="00CC2553">
        <w:tc>
          <w:tcPr>
            <w:tcW w:w="9494" w:type="dxa"/>
            <w:gridSpan w:val="2"/>
          </w:tcPr>
          <w:p w14:paraId="5C58F3AE" w14:textId="42167EA3" w:rsidR="00CC2553" w:rsidRPr="00CC2553" w:rsidRDefault="008A1BF1" w:rsidP="00DB584A">
            <w:pPr>
              <w:rPr>
                <w:rFonts w:eastAsia="Calibri"/>
                <w:iCs/>
                <w:sz w:val="24"/>
                <w:szCs w:val="24"/>
                <w:lang w:val="et-EE" w:eastAsia="en-US"/>
              </w:rPr>
            </w:pPr>
            <w:r>
              <w:rPr>
                <w:iCs/>
                <w:sz w:val="24"/>
                <w:szCs w:val="24"/>
                <w:lang w:val="et-EE"/>
              </w:rPr>
              <w:t>Planeerimisseaduse §124 lg-te 1 ja 10, §125 lg 1, §128 lg-te 1,5,6,7,8, §130 lg 1 ning Hiiumaa Vallavolikogu 19.04.2018 otsuse nr 54 „Planeerimisvaldkonna küsimuste lahendamise volitus“ punkt 1.1.1 alusel ja arvestades korralduse lisas toodud kaalutlusi</w:t>
            </w:r>
          </w:p>
        </w:tc>
      </w:tr>
      <w:tr w:rsidR="00CC2553" w:rsidRPr="00CC2553"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CC2553" w14:paraId="118BD655" w14:textId="77777777" w:rsidTr="00CC2553">
        <w:tc>
          <w:tcPr>
            <w:tcW w:w="9494" w:type="dxa"/>
            <w:gridSpan w:val="2"/>
          </w:tcPr>
          <w:p w14:paraId="73CEBC54" w14:textId="6091EB72" w:rsidR="00CC2553" w:rsidRPr="00CC2553" w:rsidRDefault="008A1BF1" w:rsidP="00353DAA">
            <w:pPr>
              <w:pStyle w:val="Loendilik"/>
              <w:numPr>
                <w:ilvl w:val="0"/>
                <w:numId w:val="26"/>
              </w:numPr>
              <w:tabs>
                <w:tab w:val="left" w:pos="375"/>
              </w:tabs>
              <w:spacing w:before="120"/>
              <w:ind w:left="0" w:firstLine="0"/>
              <w:jc w:val="both"/>
              <w:rPr>
                <w:iCs/>
                <w:sz w:val="24"/>
                <w:szCs w:val="24"/>
                <w:lang w:val="et-EE"/>
              </w:rPr>
            </w:pPr>
            <w:r>
              <w:rPr>
                <w:iCs/>
                <w:sz w:val="24"/>
                <w:szCs w:val="24"/>
                <w:lang w:val="et-EE"/>
              </w:rPr>
              <w:t>Algatada Hiiumaa vallas Kärdla linnas Rookopli tn 18 kinnistu detailplaneeringu koostamine.</w:t>
            </w:r>
          </w:p>
          <w:p w14:paraId="5D1BE3EA" w14:textId="1AB1A4F1" w:rsidR="00CC2553" w:rsidRDefault="008A1BF1" w:rsidP="00353DAA">
            <w:pPr>
              <w:pStyle w:val="Loendilik"/>
              <w:numPr>
                <w:ilvl w:val="0"/>
                <w:numId w:val="26"/>
              </w:numPr>
              <w:tabs>
                <w:tab w:val="left" w:pos="375"/>
              </w:tabs>
              <w:spacing w:before="120"/>
              <w:ind w:left="0" w:firstLine="0"/>
              <w:jc w:val="both"/>
              <w:rPr>
                <w:iCs/>
                <w:sz w:val="24"/>
                <w:szCs w:val="24"/>
                <w:lang w:val="et-EE"/>
              </w:rPr>
            </w:pPr>
            <w:r>
              <w:rPr>
                <w:iCs/>
                <w:sz w:val="24"/>
                <w:szCs w:val="24"/>
                <w:lang w:val="et-EE"/>
              </w:rPr>
              <w:t>Kinnitada Rookopli tn 18 kinnistu detailplaneeringu lähteseisukohad (lisa).</w:t>
            </w:r>
          </w:p>
          <w:p w14:paraId="2C1173B7" w14:textId="520B38B1" w:rsidR="008A1BF1" w:rsidRDefault="008A1BF1" w:rsidP="00353DAA">
            <w:pPr>
              <w:pStyle w:val="Loendilik"/>
              <w:numPr>
                <w:ilvl w:val="0"/>
                <w:numId w:val="26"/>
              </w:numPr>
              <w:tabs>
                <w:tab w:val="left" w:pos="375"/>
              </w:tabs>
              <w:spacing w:before="120"/>
              <w:ind w:left="0" w:firstLine="0"/>
              <w:jc w:val="both"/>
              <w:rPr>
                <w:iCs/>
                <w:sz w:val="24"/>
                <w:szCs w:val="24"/>
                <w:lang w:val="et-EE"/>
              </w:rPr>
            </w:pPr>
            <w:r>
              <w:rPr>
                <w:iCs/>
                <w:sz w:val="24"/>
                <w:szCs w:val="24"/>
                <w:lang w:val="et-EE"/>
              </w:rPr>
              <w:t>Detailplaneeringu koostamise korraldaja on Kärdla Osavalla Valitsus ja kehtestaja Hiiumaa Vall</w:t>
            </w:r>
            <w:r w:rsidR="00332C8F">
              <w:rPr>
                <w:iCs/>
                <w:sz w:val="24"/>
                <w:szCs w:val="24"/>
                <w:lang w:val="et-EE"/>
              </w:rPr>
              <w:t>avalitsus (aadress Keskväljak 5a, Kärdla 92413).</w:t>
            </w:r>
          </w:p>
          <w:p w14:paraId="138ABF43" w14:textId="55E4368F" w:rsidR="00332C8F" w:rsidRDefault="00332C8F" w:rsidP="00353DAA">
            <w:pPr>
              <w:pStyle w:val="Loendilik"/>
              <w:numPr>
                <w:ilvl w:val="0"/>
                <w:numId w:val="26"/>
              </w:numPr>
              <w:tabs>
                <w:tab w:val="left" w:pos="375"/>
              </w:tabs>
              <w:spacing w:before="120"/>
              <w:ind w:left="0" w:firstLine="0"/>
              <w:jc w:val="both"/>
              <w:rPr>
                <w:iCs/>
                <w:sz w:val="24"/>
                <w:szCs w:val="24"/>
                <w:lang w:val="et-EE"/>
              </w:rPr>
            </w:pPr>
            <w:r>
              <w:rPr>
                <w:iCs/>
                <w:sz w:val="24"/>
                <w:szCs w:val="24"/>
                <w:lang w:val="et-EE"/>
              </w:rPr>
              <w:t>Avaldada detailplaneeringu algatamise teade 14 päeva jooksul algatamisest Ametlikes Teadaannetes ja Hiiumaa valla veebilehel, 30 päeva jooksul ajalehes Hiiu Leht ning esimesel võimalusel Hiiumaa valla väljaandes.</w:t>
            </w:r>
          </w:p>
          <w:p w14:paraId="2F0DDC80" w14:textId="31F5E9A3" w:rsidR="00332C8F" w:rsidRDefault="00332C8F" w:rsidP="00353DAA">
            <w:pPr>
              <w:pStyle w:val="Loendilik"/>
              <w:numPr>
                <w:ilvl w:val="0"/>
                <w:numId w:val="26"/>
              </w:numPr>
              <w:tabs>
                <w:tab w:val="left" w:pos="375"/>
              </w:tabs>
              <w:spacing w:before="120"/>
              <w:ind w:left="0" w:firstLine="0"/>
              <w:jc w:val="both"/>
              <w:rPr>
                <w:iCs/>
                <w:sz w:val="24"/>
                <w:szCs w:val="24"/>
                <w:lang w:val="et-EE"/>
              </w:rPr>
            </w:pPr>
            <w:r>
              <w:rPr>
                <w:iCs/>
                <w:sz w:val="24"/>
                <w:szCs w:val="24"/>
                <w:lang w:val="et-EE"/>
              </w:rPr>
              <w:t>Detailplaneeringu algatamisest teavitada 30 päeva jooksul algatamisest planeerimisseaduse §127 lõigetes 1 ja 2 nimetatud isikuid.</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CC2553"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E7D4261" w:rsidR="00353DAA" w:rsidRDefault="00E8276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6A9F196C" w14:textId="066F0860" w:rsidR="00036393" w:rsidRPr="006651BC" w:rsidRDefault="00036393" w:rsidP="00036393">
      <w:pPr>
        <w:autoSpaceDE/>
        <w:autoSpaceDN/>
        <w:spacing w:after="200" w:line="276" w:lineRule="auto"/>
        <w:rPr>
          <w:lang w:val="et-EE"/>
        </w:rPr>
      </w:pPr>
    </w:p>
    <w:p w14:paraId="07BCBA53" w14:textId="77777777" w:rsidR="00036393" w:rsidRPr="00C04543" w:rsidRDefault="00036393" w:rsidP="00DB584A">
      <w:pPr>
        <w:rPr>
          <w:lang w:val="et-EE"/>
        </w:rPr>
      </w:pPr>
    </w:p>
    <w:sectPr w:rsidR="00036393" w:rsidRPr="00C04543" w:rsidSect="00F663DC">
      <w:headerReference w:type="default" r:id="rId8"/>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8379B"/>
    <w:rsid w:val="000D240E"/>
    <w:rsid w:val="000E405E"/>
    <w:rsid w:val="000F3630"/>
    <w:rsid w:val="00117582"/>
    <w:rsid w:val="00157D64"/>
    <w:rsid w:val="00186631"/>
    <w:rsid w:val="001C2C5D"/>
    <w:rsid w:val="00243E12"/>
    <w:rsid w:val="002A13EE"/>
    <w:rsid w:val="002E55BC"/>
    <w:rsid w:val="00332C8F"/>
    <w:rsid w:val="00353DAA"/>
    <w:rsid w:val="003577A4"/>
    <w:rsid w:val="003B4C9D"/>
    <w:rsid w:val="0042334B"/>
    <w:rsid w:val="0045042D"/>
    <w:rsid w:val="00462D9F"/>
    <w:rsid w:val="004F72E5"/>
    <w:rsid w:val="005063C8"/>
    <w:rsid w:val="00537B5F"/>
    <w:rsid w:val="0054204D"/>
    <w:rsid w:val="00575874"/>
    <w:rsid w:val="00581C81"/>
    <w:rsid w:val="00582D6E"/>
    <w:rsid w:val="00594F33"/>
    <w:rsid w:val="005C3A9D"/>
    <w:rsid w:val="00603A7D"/>
    <w:rsid w:val="006374FE"/>
    <w:rsid w:val="006651BC"/>
    <w:rsid w:val="00690760"/>
    <w:rsid w:val="006A71B0"/>
    <w:rsid w:val="006E3067"/>
    <w:rsid w:val="007036BE"/>
    <w:rsid w:val="0071653F"/>
    <w:rsid w:val="00743117"/>
    <w:rsid w:val="0074504E"/>
    <w:rsid w:val="00766142"/>
    <w:rsid w:val="00775A65"/>
    <w:rsid w:val="00775DC8"/>
    <w:rsid w:val="00776B5D"/>
    <w:rsid w:val="007B70FD"/>
    <w:rsid w:val="007C7133"/>
    <w:rsid w:val="007E32E4"/>
    <w:rsid w:val="00847B8C"/>
    <w:rsid w:val="00867DCD"/>
    <w:rsid w:val="0087067B"/>
    <w:rsid w:val="00876C2D"/>
    <w:rsid w:val="00886BD1"/>
    <w:rsid w:val="008A1BF1"/>
    <w:rsid w:val="008A6843"/>
    <w:rsid w:val="008B06C9"/>
    <w:rsid w:val="008E1EF0"/>
    <w:rsid w:val="009055CF"/>
    <w:rsid w:val="009420D8"/>
    <w:rsid w:val="00980650"/>
    <w:rsid w:val="009D25AB"/>
    <w:rsid w:val="009D5B46"/>
    <w:rsid w:val="00AD78B5"/>
    <w:rsid w:val="00B41B7A"/>
    <w:rsid w:val="00BD73A7"/>
    <w:rsid w:val="00BE59E8"/>
    <w:rsid w:val="00BF5B8C"/>
    <w:rsid w:val="00C04543"/>
    <w:rsid w:val="00C65752"/>
    <w:rsid w:val="00C93659"/>
    <w:rsid w:val="00CA0EEF"/>
    <w:rsid w:val="00CC2553"/>
    <w:rsid w:val="00D35FD4"/>
    <w:rsid w:val="00D56083"/>
    <w:rsid w:val="00D74BCC"/>
    <w:rsid w:val="00D91725"/>
    <w:rsid w:val="00DB25F9"/>
    <w:rsid w:val="00DB5114"/>
    <w:rsid w:val="00DB584A"/>
    <w:rsid w:val="00E236C8"/>
    <w:rsid w:val="00E30DD1"/>
    <w:rsid w:val="00E31356"/>
    <w:rsid w:val="00E511E6"/>
    <w:rsid w:val="00E82760"/>
    <w:rsid w:val="00EE04A2"/>
    <w:rsid w:val="00F16440"/>
    <w:rsid w:val="00F650E0"/>
    <w:rsid w:val="00F663DC"/>
    <w:rsid w:val="00F87283"/>
    <w:rsid w:val="00FB29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181</Words>
  <Characters>1410</Characters>
  <Application>Microsoft Office Word</Application>
  <DocSecurity>0</DocSecurity>
  <Lines>11</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Maria Reino</cp:lastModifiedBy>
  <cp:revision>4</cp:revision>
  <cp:lastPrinted>2013-11-05T13:36:00Z</cp:lastPrinted>
  <dcterms:created xsi:type="dcterms:W3CDTF">2022-12-07T07:25:00Z</dcterms:created>
  <dcterms:modified xsi:type="dcterms:W3CDTF">2023-03-15T12:59:00Z</dcterms:modified>
</cp:coreProperties>
</file>